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B271EA">
      <w:pPr>
        <w:widowControl/>
        <w:shd w:val="clear" w:color="auto" w:fill="FFFFFF"/>
        <w:rPr>
          <w:rFonts w:ascii="宋体" w:cs="宋体"/>
          <w:b/>
          <w:color w:val="454545"/>
          <w:kern w:val="0"/>
          <w:sz w:val="44"/>
          <w:szCs w:val="44"/>
          <w:shd w:val="clear" w:color="auto" w:fill="FFFFFF"/>
        </w:rPr>
      </w:pPr>
      <w:bookmarkStart w:id="0" w:name="_GoBack"/>
      <w:r>
        <w:rPr>
          <w:rFonts w:hint="eastAsia" w:ascii="宋体" w:hAnsi="宋体" w:cs="宋体"/>
          <w:b/>
          <w:color w:val="454545"/>
          <w:kern w:val="0"/>
          <w:sz w:val="44"/>
          <w:szCs w:val="44"/>
          <w:shd w:val="clear" w:color="auto" w:fill="FFFFFF"/>
        </w:rPr>
        <w:t>吉林省高素质农民培训机构管理办法（试行）</w:t>
      </w:r>
    </w:p>
    <w:bookmarkEnd w:id="0"/>
    <w:p w14:paraId="131D3FD9">
      <w:pPr>
        <w:widowControl/>
        <w:spacing w:line="620" w:lineRule="exact"/>
        <w:rPr>
          <w:rStyle w:val="6"/>
          <w:rFonts w:ascii="宋体" w:cs="宋体"/>
          <w:color w:val="000000"/>
          <w:kern w:val="0"/>
          <w:sz w:val="28"/>
          <w:szCs w:val="28"/>
          <w:shd w:val="clear" w:color="auto" w:fill="FFFFFF"/>
        </w:rPr>
      </w:pPr>
    </w:p>
    <w:p w14:paraId="62A9C591">
      <w:pPr>
        <w:widowControl/>
        <w:spacing w:line="480" w:lineRule="auto"/>
        <w:ind w:firstLine="2772" w:firstLineChars="863"/>
        <w:rPr>
          <w:rFonts w:ascii="仿宋" w:hAnsi="仿宋" w:eastAsia="仿宋" w:cs="黑体"/>
          <w:sz w:val="32"/>
          <w:szCs w:val="32"/>
        </w:rPr>
      </w:pPr>
      <w:r>
        <w:rPr>
          <w:rStyle w:val="6"/>
          <w:rFonts w:hint="eastAsia" w:ascii="仿宋" w:hAnsi="仿宋" w:eastAsia="仿宋" w:cs="黑体"/>
          <w:color w:val="000000"/>
          <w:kern w:val="0"/>
          <w:sz w:val="32"/>
          <w:szCs w:val="32"/>
          <w:shd w:val="clear" w:color="auto" w:fill="FFFFFF"/>
        </w:rPr>
        <w:t>第一章总则</w:t>
      </w:r>
    </w:p>
    <w:p w14:paraId="64F29758">
      <w:pPr>
        <w:widowControl/>
        <w:spacing w:line="480" w:lineRule="auto"/>
        <w:ind w:firstLine="480"/>
        <w:jc w:val="left"/>
        <w:rPr>
          <w:rFonts w:ascii="仿宋" w:hAnsi="仿宋" w:eastAsia="仿宋" w:cs="仿宋_GB2312"/>
          <w:sz w:val="32"/>
          <w:szCs w:val="32"/>
        </w:rPr>
      </w:pPr>
      <w:r>
        <w:rPr>
          <w:rStyle w:val="6"/>
          <w:rFonts w:hint="eastAsia" w:ascii="仿宋" w:hAnsi="仿宋" w:eastAsia="仿宋" w:cs="仿宋_GB2312"/>
          <w:color w:val="000000"/>
          <w:kern w:val="0"/>
          <w:sz w:val="32"/>
          <w:szCs w:val="32"/>
          <w:shd w:val="clear" w:color="auto" w:fill="FFFFFF"/>
        </w:rPr>
        <w:t xml:space="preserve">第一条 </w:t>
      </w:r>
      <w:r>
        <w:rPr>
          <w:rFonts w:hint="eastAsia" w:ascii="仿宋" w:hAnsi="仿宋" w:eastAsia="仿宋" w:cs="仿宋_GB2312"/>
          <w:color w:val="000000"/>
          <w:kern w:val="0"/>
          <w:sz w:val="32"/>
          <w:szCs w:val="32"/>
          <w:shd w:val="clear" w:color="auto" w:fill="FFFFFF"/>
        </w:rPr>
        <w:t>为进一步构建我省高素质农民培育体系，强化培训基础条件建设，提升高素质农民培育质量，有效开展高素质农民培育工作，特制定本管理办法。</w:t>
      </w:r>
    </w:p>
    <w:p w14:paraId="5C934034">
      <w:pPr>
        <w:widowControl/>
        <w:spacing w:line="480" w:lineRule="auto"/>
        <w:ind w:firstLine="480"/>
        <w:jc w:val="left"/>
        <w:rPr>
          <w:rStyle w:val="6"/>
          <w:rFonts w:ascii="仿宋" w:hAnsi="仿宋" w:eastAsia="仿宋" w:cs="黑体"/>
          <w:color w:val="000000"/>
          <w:kern w:val="0"/>
          <w:sz w:val="32"/>
          <w:szCs w:val="32"/>
          <w:shd w:val="clear" w:color="auto" w:fill="FFFFFF"/>
        </w:rPr>
      </w:pPr>
      <w:r>
        <w:rPr>
          <w:rFonts w:hint="eastAsia" w:ascii="仿宋" w:hAnsi="仿宋" w:eastAsia="仿宋" w:cs="仿宋_GB2312"/>
          <w:b/>
          <w:bCs/>
          <w:color w:val="000000"/>
          <w:kern w:val="0"/>
          <w:sz w:val="32"/>
          <w:szCs w:val="32"/>
          <w:shd w:val="clear" w:color="auto" w:fill="FFFFFF"/>
        </w:rPr>
        <w:t xml:space="preserve">第二条 </w:t>
      </w:r>
      <w:r>
        <w:rPr>
          <w:rFonts w:hint="eastAsia" w:ascii="仿宋" w:hAnsi="仿宋" w:eastAsia="仿宋" w:cs="仿宋_GB2312"/>
          <w:color w:val="000000"/>
          <w:kern w:val="0"/>
          <w:sz w:val="32"/>
          <w:szCs w:val="32"/>
          <w:shd w:val="clear" w:color="auto" w:fill="FFFFFF"/>
        </w:rPr>
        <w:t>高素质农民培训机构（以下简称“培训机构”）是指通过各级农业农村主管部门遴选认定、承担高素质农民培训的单位。</w:t>
      </w:r>
    </w:p>
    <w:p w14:paraId="77918B86">
      <w:pPr>
        <w:widowControl/>
        <w:spacing w:line="480" w:lineRule="auto"/>
        <w:ind w:firstLine="2451" w:firstLineChars="763"/>
        <w:rPr>
          <w:rFonts w:ascii="仿宋" w:hAnsi="仿宋" w:eastAsia="仿宋" w:cs="黑体"/>
          <w:sz w:val="32"/>
          <w:szCs w:val="32"/>
        </w:rPr>
      </w:pPr>
      <w:r>
        <w:rPr>
          <w:rStyle w:val="6"/>
          <w:rFonts w:hint="eastAsia" w:ascii="仿宋" w:hAnsi="仿宋" w:eastAsia="仿宋" w:cs="黑体"/>
          <w:color w:val="000000"/>
          <w:kern w:val="0"/>
          <w:sz w:val="32"/>
          <w:szCs w:val="32"/>
          <w:shd w:val="clear" w:color="auto" w:fill="FFFFFF"/>
        </w:rPr>
        <w:t>第二章功能与任务</w:t>
      </w:r>
    </w:p>
    <w:p w14:paraId="67CC9229">
      <w:pPr>
        <w:widowControl/>
        <w:spacing w:line="480" w:lineRule="auto"/>
        <w:ind w:firstLine="643" w:firstLineChars="200"/>
        <w:rPr>
          <w:rFonts w:ascii="仿宋" w:hAnsi="仿宋" w:eastAsia="仿宋" w:cs="仿宋_GB2312"/>
          <w:bCs/>
          <w:color w:val="000000"/>
          <w:kern w:val="0"/>
          <w:sz w:val="32"/>
          <w:szCs w:val="32"/>
          <w:shd w:val="clear" w:color="auto" w:fill="FFFFFF"/>
        </w:rPr>
      </w:pPr>
      <w:r>
        <w:rPr>
          <w:rStyle w:val="6"/>
          <w:rFonts w:hint="eastAsia" w:ascii="仿宋" w:hAnsi="仿宋" w:eastAsia="仿宋" w:cs="仿宋_GB2312"/>
          <w:color w:val="000000"/>
          <w:kern w:val="0"/>
          <w:sz w:val="32"/>
          <w:szCs w:val="32"/>
          <w:shd w:val="clear" w:color="auto" w:fill="FFFFFF"/>
        </w:rPr>
        <w:t xml:space="preserve">第三条 </w:t>
      </w:r>
      <w:r>
        <w:rPr>
          <w:rStyle w:val="6"/>
          <w:rFonts w:hint="eastAsia" w:ascii="仿宋" w:hAnsi="仿宋" w:eastAsia="仿宋" w:cs="仿宋_GB2312"/>
          <w:b w:val="0"/>
          <w:color w:val="000000"/>
          <w:kern w:val="0"/>
          <w:sz w:val="32"/>
          <w:szCs w:val="32"/>
          <w:shd w:val="clear" w:color="auto" w:fill="FFFFFF"/>
        </w:rPr>
        <w:t>培训机构按照相关要求，开展高素质农民培训的</w:t>
      </w:r>
      <w:r>
        <w:rPr>
          <w:rFonts w:hint="eastAsia" w:ascii="仿宋" w:hAnsi="仿宋" w:eastAsia="仿宋" w:cs="仿宋_GB2312"/>
          <w:color w:val="000000"/>
          <w:kern w:val="0"/>
          <w:sz w:val="32"/>
          <w:szCs w:val="32"/>
          <w:shd w:val="clear" w:color="auto" w:fill="FFFFFF"/>
        </w:rPr>
        <w:t>课堂教学、实习实训、线上学习、现场观摩、交流实践、绩效评价、信息宣传、统计监测等活动。</w:t>
      </w:r>
    </w:p>
    <w:p w14:paraId="12EE609B">
      <w:pPr>
        <w:widowControl/>
        <w:spacing w:line="480" w:lineRule="auto"/>
        <w:ind w:firstLine="480"/>
        <w:rPr>
          <w:rFonts w:ascii="仿宋" w:hAnsi="仿宋" w:eastAsia="仿宋" w:cs="仿宋_GB2312"/>
          <w:sz w:val="32"/>
          <w:szCs w:val="32"/>
        </w:rPr>
      </w:pPr>
      <w:r>
        <w:rPr>
          <w:rStyle w:val="6"/>
          <w:rFonts w:hint="eastAsia" w:ascii="仿宋" w:hAnsi="仿宋" w:eastAsia="仿宋" w:cs="仿宋_GB2312"/>
          <w:color w:val="000000"/>
          <w:kern w:val="0"/>
          <w:sz w:val="32"/>
          <w:szCs w:val="32"/>
          <w:shd w:val="clear" w:color="auto" w:fill="FFFFFF"/>
        </w:rPr>
        <w:t xml:space="preserve"> 第四条</w:t>
      </w:r>
      <w:r>
        <w:rPr>
          <w:rFonts w:hint="eastAsia" w:ascii="仿宋" w:hAnsi="仿宋" w:eastAsia="仿宋" w:cs="仿宋_GB2312"/>
          <w:color w:val="000000"/>
          <w:kern w:val="0"/>
          <w:sz w:val="32"/>
          <w:szCs w:val="32"/>
          <w:shd w:val="clear" w:color="auto" w:fill="FFFFFF"/>
        </w:rPr>
        <w:t>培训机构应按照农业农村主管部门下达的培训任务指标，开展如下工作：</w:t>
      </w:r>
    </w:p>
    <w:p w14:paraId="4BB89DF6">
      <w:pPr>
        <w:widowControl/>
        <w:spacing w:line="480" w:lineRule="auto"/>
        <w:ind w:firstLine="640" w:firstLineChars="200"/>
        <w:jc w:val="left"/>
        <w:rPr>
          <w:rFonts w:ascii="仿宋" w:hAnsi="仿宋" w:eastAsia="仿宋" w:cs="仿宋_GB2312"/>
          <w:sz w:val="32"/>
          <w:szCs w:val="32"/>
        </w:rPr>
      </w:pPr>
      <w:r>
        <w:rPr>
          <w:rFonts w:ascii="仿宋" w:hAnsi="仿宋" w:eastAsia="仿宋" w:cs="仿宋_GB2312"/>
          <w:color w:val="000000"/>
          <w:kern w:val="0"/>
          <w:sz w:val="32"/>
          <w:szCs w:val="32"/>
          <w:shd w:val="clear" w:color="auto" w:fill="FFFFFF"/>
        </w:rPr>
        <w:t>1</w:t>
      </w:r>
      <w:r>
        <w:rPr>
          <w:rFonts w:hint="eastAsia" w:ascii="仿宋" w:hAnsi="仿宋" w:eastAsia="仿宋" w:cs="仿宋_GB2312"/>
          <w:color w:val="000000"/>
          <w:kern w:val="0"/>
          <w:sz w:val="32"/>
          <w:szCs w:val="32"/>
          <w:shd w:val="clear" w:color="auto" w:fill="FFFFFF"/>
        </w:rPr>
        <w:t>.制定培训计划；</w:t>
      </w:r>
    </w:p>
    <w:p w14:paraId="127F7D34">
      <w:pPr>
        <w:widowControl/>
        <w:spacing w:line="480" w:lineRule="auto"/>
        <w:ind w:firstLine="640" w:firstLineChars="200"/>
        <w:jc w:val="left"/>
        <w:rPr>
          <w:rFonts w:ascii="仿宋" w:hAnsi="仿宋" w:eastAsia="仿宋" w:cs="仿宋_GB2312"/>
          <w:sz w:val="32"/>
          <w:szCs w:val="32"/>
        </w:rPr>
      </w:pPr>
      <w:r>
        <w:rPr>
          <w:rFonts w:ascii="仿宋" w:hAnsi="仿宋" w:eastAsia="仿宋" w:cs="仿宋_GB2312"/>
          <w:color w:val="000000"/>
          <w:kern w:val="0"/>
          <w:sz w:val="32"/>
          <w:szCs w:val="32"/>
          <w:shd w:val="clear" w:color="auto" w:fill="FFFFFF"/>
        </w:rPr>
        <w:t>2</w:t>
      </w:r>
      <w:r>
        <w:rPr>
          <w:rFonts w:hint="eastAsia" w:ascii="仿宋" w:hAnsi="仿宋" w:eastAsia="仿宋" w:cs="仿宋_GB2312"/>
          <w:color w:val="000000"/>
          <w:kern w:val="0"/>
          <w:sz w:val="32"/>
          <w:szCs w:val="32"/>
          <w:shd w:val="clear" w:color="auto" w:fill="FFFFFF"/>
        </w:rPr>
        <w:t>.遴选培训学员；</w:t>
      </w:r>
    </w:p>
    <w:p w14:paraId="41040AC2">
      <w:pPr>
        <w:widowControl/>
        <w:spacing w:line="480" w:lineRule="auto"/>
        <w:ind w:firstLine="640" w:firstLineChars="200"/>
        <w:jc w:val="left"/>
        <w:rPr>
          <w:rFonts w:ascii="仿宋" w:hAnsi="仿宋" w:eastAsia="仿宋" w:cs="仿宋_GB2312"/>
          <w:color w:val="000000"/>
          <w:kern w:val="0"/>
          <w:sz w:val="32"/>
          <w:szCs w:val="32"/>
          <w:shd w:val="clear" w:color="auto" w:fill="FFFFFF"/>
        </w:rPr>
      </w:pPr>
      <w:r>
        <w:rPr>
          <w:rFonts w:ascii="仿宋" w:hAnsi="仿宋" w:eastAsia="仿宋" w:cs="仿宋_GB2312"/>
          <w:color w:val="000000"/>
          <w:kern w:val="0"/>
          <w:sz w:val="32"/>
          <w:szCs w:val="32"/>
          <w:shd w:val="clear" w:color="auto" w:fill="FFFFFF"/>
        </w:rPr>
        <w:t>3</w:t>
      </w:r>
      <w:r>
        <w:rPr>
          <w:rFonts w:hint="eastAsia" w:ascii="仿宋" w:hAnsi="仿宋" w:eastAsia="仿宋" w:cs="仿宋_GB2312"/>
          <w:color w:val="000000"/>
          <w:kern w:val="0"/>
          <w:sz w:val="32"/>
          <w:szCs w:val="32"/>
          <w:shd w:val="clear" w:color="auto" w:fill="FFFFFF"/>
        </w:rPr>
        <w:t>.设置培训课程；</w:t>
      </w:r>
    </w:p>
    <w:p w14:paraId="29871D2A">
      <w:pPr>
        <w:widowControl/>
        <w:spacing w:line="480" w:lineRule="auto"/>
        <w:ind w:firstLine="640" w:firstLineChars="200"/>
        <w:jc w:val="left"/>
        <w:rPr>
          <w:rFonts w:ascii="仿宋" w:hAnsi="仿宋" w:eastAsia="仿宋" w:cs="仿宋_GB2312"/>
          <w:color w:val="000000"/>
          <w:kern w:val="0"/>
          <w:sz w:val="32"/>
          <w:szCs w:val="32"/>
          <w:shd w:val="clear" w:color="auto" w:fill="FFFFFF"/>
        </w:rPr>
      </w:pPr>
      <w:r>
        <w:rPr>
          <w:rFonts w:hint="eastAsia" w:ascii="仿宋" w:hAnsi="仿宋" w:eastAsia="仿宋" w:cs="仿宋_GB2312"/>
          <w:color w:val="000000"/>
          <w:kern w:val="0"/>
          <w:sz w:val="32"/>
          <w:szCs w:val="32"/>
          <w:shd w:val="clear" w:color="auto" w:fill="FFFFFF"/>
        </w:rPr>
        <w:t>4.聘请教学师资;</w:t>
      </w:r>
    </w:p>
    <w:p w14:paraId="36B7828D">
      <w:pPr>
        <w:widowControl/>
        <w:spacing w:line="480" w:lineRule="auto"/>
        <w:ind w:firstLine="640" w:firstLineChars="200"/>
        <w:jc w:val="left"/>
        <w:rPr>
          <w:rFonts w:ascii="仿宋" w:hAnsi="仿宋" w:eastAsia="仿宋" w:cs="仿宋_GB2312"/>
          <w:color w:val="000000"/>
          <w:kern w:val="0"/>
          <w:sz w:val="32"/>
          <w:szCs w:val="32"/>
          <w:shd w:val="clear" w:color="auto" w:fill="FFFFFF"/>
        </w:rPr>
      </w:pPr>
      <w:r>
        <w:rPr>
          <w:rFonts w:hint="eastAsia" w:ascii="仿宋" w:hAnsi="仿宋" w:eastAsia="仿宋" w:cs="仿宋_GB2312"/>
          <w:color w:val="000000"/>
          <w:kern w:val="0"/>
          <w:sz w:val="32"/>
          <w:szCs w:val="32"/>
          <w:shd w:val="clear" w:color="auto" w:fill="FFFFFF"/>
        </w:rPr>
        <w:t>5.优选培训教材;</w:t>
      </w:r>
    </w:p>
    <w:p w14:paraId="16B4AE47">
      <w:pPr>
        <w:widowControl/>
        <w:spacing w:line="480" w:lineRule="auto"/>
        <w:ind w:firstLine="640" w:firstLineChars="200"/>
        <w:jc w:val="left"/>
        <w:rPr>
          <w:rFonts w:ascii="仿宋" w:hAnsi="仿宋" w:eastAsia="仿宋" w:cs="仿宋_GB2312"/>
          <w:color w:val="000000"/>
          <w:kern w:val="0"/>
          <w:sz w:val="32"/>
          <w:szCs w:val="32"/>
          <w:shd w:val="clear" w:color="auto" w:fill="FFFFFF"/>
        </w:rPr>
      </w:pPr>
      <w:r>
        <w:rPr>
          <w:rFonts w:hint="eastAsia" w:ascii="仿宋" w:hAnsi="仿宋" w:eastAsia="仿宋" w:cs="仿宋_GB2312"/>
          <w:color w:val="000000"/>
          <w:kern w:val="0"/>
          <w:sz w:val="32"/>
          <w:szCs w:val="32"/>
          <w:shd w:val="clear" w:color="auto" w:fill="FFFFFF"/>
        </w:rPr>
        <w:t>6.组织教学活动(包括: 课堂教学、实习实训、线上学习、现场观摩、交流实践、班级日常管理、考试考核、档案管理等)</w:t>
      </w:r>
    </w:p>
    <w:p w14:paraId="53776401">
      <w:pPr>
        <w:widowControl/>
        <w:spacing w:line="480" w:lineRule="auto"/>
        <w:ind w:firstLine="640" w:firstLineChars="200"/>
        <w:jc w:val="left"/>
        <w:rPr>
          <w:rFonts w:ascii="仿宋" w:hAnsi="仿宋" w:eastAsia="仿宋" w:cs="仿宋_GB2312"/>
          <w:sz w:val="32"/>
          <w:szCs w:val="32"/>
        </w:rPr>
      </w:pPr>
      <w:r>
        <w:rPr>
          <w:rFonts w:hint="eastAsia" w:ascii="仿宋" w:hAnsi="仿宋" w:eastAsia="仿宋" w:cs="仿宋_GB2312"/>
          <w:color w:val="000000"/>
          <w:kern w:val="0"/>
          <w:sz w:val="32"/>
          <w:szCs w:val="32"/>
          <w:shd w:val="clear" w:color="auto" w:fill="FFFFFF"/>
        </w:rPr>
        <w:t>7.后续跟踪服务。</w:t>
      </w:r>
    </w:p>
    <w:p w14:paraId="5B5FB1B3">
      <w:pPr>
        <w:widowControl/>
        <w:spacing w:line="480" w:lineRule="auto"/>
        <w:jc w:val="center"/>
        <w:rPr>
          <w:rFonts w:ascii="仿宋" w:hAnsi="仿宋" w:eastAsia="仿宋" w:cs="黑体"/>
          <w:sz w:val="32"/>
          <w:szCs w:val="32"/>
        </w:rPr>
      </w:pPr>
      <w:r>
        <w:rPr>
          <w:rStyle w:val="6"/>
          <w:rFonts w:hint="eastAsia" w:ascii="仿宋" w:hAnsi="仿宋" w:eastAsia="仿宋" w:cs="黑体"/>
          <w:color w:val="000000"/>
          <w:kern w:val="0"/>
          <w:sz w:val="32"/>
          <w:szCs w:val="32"/>
          <w:shd w:val="clear" w:color="auto" w:fill="FFFFFF"/>
        </w:rPr>
        <w:t>第三章遴选认定</w:t>
      </w:r>
    </w:p>
    <w:p w14:paraId="4DF3DBC4">
      <w:pPr>
        <w:widowControl/>
        <w:spacing w:line="480" w:lineRule="auto"/>
        <w:ind w:firstLine="480"/>
        <w:jc w:val="left"/>
        <w:rPr>
          <w:rFonts w:ascii="仿宋" w:hAnsi="仿宋" w:eastAsia="仿宋" w:cs="仿宋_GB2312"/>
          <w:sz w:val="32"/>
          <w:szCs w:val="32"/>
        </w:rPr>
      </w:pPr>
      <w:r>
        <w:rPr>
          <w:rStyle w:val="6"/>
          <w:rFonts w:hint="eastAsia" w:ascii="仿宋" w:hAnsi="仿宋" w:eastAsia="仿宋" w:cs="仿宋_GB2312"/>
          <w:color w:val="000000"/>
          <w:kern w:val="0"/>
          <w:sz w:val="32"/>
          <w:szCs w:val="32"/>
          <w:shd w:val="clear" w:color="auto" w:fill="FFFFFF"/>
        </w:rPr>
        <w:t xml:space="preserve">第五条 </w:t>
      </w:r>
      <w:r>
        <w:rPr>
          <w:rFonts w:hint="eastAsia" w:ascii="仿宋" w:hAnsi="仿宋" w:eastAsia="仿宋" w:cs="仿宋_GB2312"/>
          <w:color w:val="000000"/>
          <w:kern w:val="0"/>
          <w:sz w:val="32"/>
          <w:szCs w:val="32"/>
          <w:shd w:val="clear" w:color="auto" w:fill="FFFFFF"/>
        </w:rPr>
        <w:t>培训机构应具备以下条件：</w:t>
      </w:r>
    </w:p>
    <w:p w14:paraId="1544E6E0">
      <w:pPr>
        <w:widowControl/>
        <w:spacing w:line="480" w:lineRule="auto"/>
        <w:ind w:firstLine="480"/>
        <w:jc w:val="left"/>
        <w:rPr>
          <w:rFonts w:ascii="仿宋" w:hAnsi="仿宋" w:eastAsia="仿宋" w:cs="仿宋_GB2312"/>
          <w:color w:val="000000"/>
          <w:kern w:val="0"/>
          <w:sz w:val="32"/>
          <w:szCs w:val="32"/>
          <w:shd w:val="clear" w:color="auto" w:fill="FFFFFF"/>
        </w:rPr>
      </w:pPr>
      <w:r>
        <w:rPr>
          <w:rFonts w:ascii="仿宋" w:hAnsi="仿宋" w:eastAsia="仿宋" w:cs="仿宋_GB2312"/>
          <w:color w:val="000000"/>
          <w:kern w:val="0"/>
          <w:sz w:val="32"/>
          <w:szCs w:val="32"/>
          <w:shd w:val="clear" w:color="auto" w:fill="FFFFFF"/>
        </w:rPr>
        <w:t>1</w:t>
      </w:r>
      <w:r>
        <w:rPr>
          <w:rFonts w:hint="eastAsia" w:ascii="仿宋" w:hAnsi="仿宋" w:eastAsia="仿宋" w:cs="仿宋_GB2312"/>
          <w:color w:val="000000"/>
          <w:kern w:val="0"/>
          <w:sz w:val="32"/>
          <w:szCs w:val="32"/>
          <w:shd w:val="clear" w:color="auto" w:fill="FFFFFF"/>
        </w:rPr>
        <w:t>.自愿在农业农村主管部门指导下承担培训任务；</w:t>
      </w:r>
    </w:p>
    <w:p w14:paraId="2D0C38D3">
      <w:pPr>
        <w:widowControl/>
        <w:spacing w:line="480" w:lineRule="auto"/>
        <w:ind w:firstLine="480"/>
        <w:jc w:val="left"/>
        <w:rPr>
          <w:rFonts w:ascii="仿宋" w:hAnsi="仿宋" w:eastAsia="仿宋" w:cs="仿宋_GB2312"/>
          <w:color w:val="000000"/>
          <w:kern w:val="0"/>
          <w:sz w:val="32"/>
          <w:szCs w:val="32"/>
          <w:shd w:val="clear" w:color="auto" w:fill="FFFFFF"/>
        </w:rPr>
      </w:pPr>
      <w:r>
        <w:rPr>
          <w:rFonts w:ascii="仿宋" w:hAnsi="仿宋" w:eastAsia="仿宋" w:cs="仿宋_GB2312"/>
          <w:color w:val="000000"/>
          <w:kern w:val="0"/>
          <w:sz w:val="32"/>
          <w:szCs w:val="32"/>
          <w:shd w:val="clear" w:color="auto" w:fill="FFFFFF"/>
        </w:rPr>
        <w:t>2</w:t>
      </w:r>
      <w:r>
        <w:rPr>
          <w:rFonts w:hint="eastAsia" w:ascii="仿宋" w:hAnsi="仿宋" w:eastAsia="仿宋" w:cs="仿宋_GB2312"/>
          <w:color w:val="000000"/>
          <w:kern w:val="0"/>
          <w:sz w:val="32"/>
          <w:szCs w:val="32"/>
          <w:shd w:val="clear" w:color="auto" w:fill="FFFFFF"/>
        </w:rPr>
        <w:t>.具有独立法人资格；</w:t>
      </w:r>
    </w:p>
    <w:p w14:paraId="25019BC6">
      <w:pPr>
        <w:widowControl/>
        <w:spacing w:line="480" w:lineRule="auto"/>
        <w:ind w:firstLine="480"/>
        <w:jc w:val="left"/>
        <w:rPr>
          <w:rFonts w:ascii="仿宋" w:hAnsi="仿宋" w:eastAsia="仿宋" w:cs="仿宋_GB2312"/>
          <w:color w:val="000000"/>
          <w:kern w:val="0"/>
          <w:sz w:val="32"/>
          <w:szCs w:val="32"/>
          <w:shd w:val="clear" w:color="auto" w:fill="FFFFFF"/>
        </w:rPr>
      </w:pPr>
      <w:r>
        <w:rPr>
          <w:rFonts w:ascii="仿宋" w:hAnsi="仿宋" w:eastAsia="仿宋" w:cs="仿宋_GB2312"/>
          <w:color w:val="000000"/>
          <w:kern w:val="0"/>
          <w:sz w:val="32"/>
          <w:szCs w:val="32"/>
          <w:shd w:val="clear" w:color="auto" w:fill="FFFFFF"/>
        </w:rPr>
        <w:t>3</w:t>
      </w:r>
      <w:r>
        <w:rPr>
          <w:rFonts w:hint="eastAsia" w:ascii="仿宋" w:hAnsi="仿宋" w:eastAsia="仿宋" w:cs="仿宋_GB2312"/>
          <w:color w:val="000000"/>
          <w:kern w:val="0"/>
          <w:sz w:val="32"/>
          <w:szCs w:val="32"/>
          <w:shd w:val="clear" w:color="auto" w:fill="FFFFFF"/>
        </w:rPr>
        <w:t xml:space="preserve">.具有符合规定的财务管理条件； </w:t>
      </w:r>
    </w:p>
    <w:p w14:paraId="5CBAD38F">
      <w:pPr>
        <w:widowControl/>
        <w:spacing w:line="480" w:lineRule="auto"/>
        <w:ind w:firstLine="480"/>
        <w:jc w:val="left"/>
        <w:rPr>
          <w:rFonts w:ascii="仿宋" w:hAnsi="仿宋" w:eastAsia="仿宋" w:cs="仿宋_GB2312"/>
          <w:color w:val="000000"/>
          <w:kern w:val="0"/>
          <w:sz w:val="32"/>
          <w:szCs w:val="32"/>
          <w:shd w:val="clear" w:color="auto" w:fill="FFFFFF"/>
        </w:rPr>
      </w:pPr>
      <w:r>
        <w:rPr>
          <w:rFonts w:hint="eastAsia" w:ascii="仿宋" w:hAnsi="仿宋" w:eastAsia="仿宋" w:cs="仿宋_GB2312"/>
          <w:color w:val="000000"/>
          <w:kern w:val="0"/>
          <w:sz w:val="32"/>
          <w:szCs w:val="32"/>
          <w:shd w:val="clear" w:color="auto" w:fill="FFFFFF"/>
        </w:rPr>
        <w:t>4.具备基本的教师队伍和相应的教学实训条件；</w:t>
      </w:r>
    </w:p>
    <w:p w14:paraId="1354650A">
      <w:pPr>
        <w:widowControl/>
        <w:spacing w:line="480" w:lineRule="auto"/>
        <w:ind w:firstLine="480"/>
        <w:jc w:val="left"/>
        <w:rPr>
          <w:rFonts w:ascii="仿宋" w:hAnsi="仿宋" w:eastAsia="仿宋" w:cs="仿宋_GB2312"/>
          <w:color w:val="000000"/>
          <w:kern w:val="0"/>
          <w:sz w:val="32"/>
          <w:szCs w:val="32"/>
          <w:shd w:val="clear" w:color="auto" w:fill="FFFFFF"/>
        </w:rPr>
      </w:pPr>
      <w:r>
        <w:rPr>
          <w:rFonts w:hint="eastAsia" w:ascii="仿宋" w:hAnsi="仿宋" w:eastAsia="仿宋" w:cs="仿宋_GB2312"/>
          <w:color w:val="000000"/>
          <w:kern w:val="0"/>
          <w:sz w:val="32"/>
          <w:szCs w:val="32"/>
          <w:shd w:val="clear" w:color="auto" w:fill="FFFFFF"/>
        </w:rPr>
        <w:t>5.具备较强的农民组织能力和农民培训经验。</w:t>
      </w:r>
    </w:p>
    <w:p w14:paraId="4944F081">
      <w:pPr>
        <w:widowControl/>
        <w:spacing w:line="480" w:lineRule="auto"/>
        <w:ind w:firstLine="321" w:firstLineChars="100"/>
        <w:jc w:val="left"/>
        <w:rPr>
          <w:rFonts w:ascii="仿宋" w:hAnsi="仿宋" w:eastAsia="仿宋" w:cs="仿宋_GB2312"/>
          <w:sz w:val="32"/>
          <w:szCs w:val="32"/>
        </w:rPr>
      </w:pPr>
      <w:r>
        <w:rPr>
          <w:rStyle w:val="6"/>
          <w:rFonts w:hint="eastAsia" w:ascii="仿宋" w:hAnsi="仿宋" w:eastAsia="仿宋" w:cs="仿宋_GB2312"/>
          <w:color w:val="000000"/>
          <w:kern w:val="0"/>
          <w:sz w:val="32"/>
          <w:szCs w:val="32"/>
          <w:shd w:val="clear" w:color="auto" w:fill="FFFFFF"/>
        </w:rPr>
        <w:t xml:space="preserve">第六条 </w:t>
      </w:r>
      <w:r>
        <w:rPr>
          <w:rFonts w:hint="eastAsia" w:ascii="仿宋" w:hAnsi="仿宋" w:eastAsia="仿宋" w:cs="仿宋_GB2312"/>
          <w:color w:val="000000"/>
          <w:kern w:val="0"/>
          <w:sz w:val="32"/>
          <w:szCs w:val="32"/>
          <w:shd w:val="clear" w:color="auto" w:fill="FFFFFF"/>
        </w:rPr>
        <w:t>培训机构遴选认定程序：</w:t>
      </w:r>
    </w:p>
    <w:p w14:paraId="3C1E5AE3">
      <w:pPr>
        <w:widowControl/>
        <w:numPr>
          <w:ilvl w:val="0"/>
          <w:numId w:val="1"/>
        </w:numPr>
        <w:spacing w:line="480" w:lineRule="auto"/>
        <w:ind w:firstLine="480"/>
        <w:jc w:val="left"/>
        <w:rPr>
          <w:rFonts w:ascii="仿宋" w:hAnsi="仿宋" w:eastAsia="仿宋" w:cs="仿宋_GB2312"/>
          <w:color w:val="000000"/>
          <w:kern w:val="0"/>
          <w:sz w:val="32"/>
          <w:szCs w:val="32"/>
          <w:shd w:val="clear" w:color="auto" w:fill="FFFFFF"/>
        </w:rPr>
      </w:pPr>
      <w:r>
        <w:rPr>
          <w:rFonts w:hint="eastAsia" w:ascii="仿宋" w:hAnsi="仿宋" w:eastAsia="仿宋" w:cs="仿宋_GB2312"/>
          <w:color w:val="000000"/>
          <w:kern w:val="0"/>
          <w:sz w:val="32"/>
          <w:szCs w:val="32"/>
          <w:shd w:val="clear" w:color="auto" w:fill="FFFFFF"/>
        </w:rPr>
        <w:t>申报单位应向当地农业农村主管理部门提交申请，初审合格后, 通过新闻媒体，向社会公示;</w:t>
      </w:r>
    </w:p>
    <w:p w14:paraId="4AC0337D">
      <w:pPr>
        <w:widowControl/>
        <w:numPr>
          <w:ilvl w:val="0"/>
          <w:numId w:val="1"/>
        </w:numPr>
        <w:spacing w:line="480" w:lineRule="auto"/>
        <w:ind w:firstLine="480"/>
        <w:jc w:val="left"/>
        <w:rPr>
          <w:rFonts w:ascii="仿宋" w:hAnsi="仿宋" w:eastAsia="仿宋" w:cs="仿宋_GB2312"/>
          <w:color w:val="000000"/>
          <w:kern w:val="0"/>
          <w:sz w:val="32"/>
          <w:szCs w:val="32"/>
          <w:shd w:val="clear" w:color="auto" w:fill="FFFFFF"/>
        </w:rPr>
      </w:pPr>
      <w:r>
        <w:rPr>
          <w:rFonts w:hint="eastAsia" w:ascii="仿宋" w:hAnsi="仿宋" w:eastAsia="仿宋" w:cs="仿宋_GB2312"/>
          <w:color w:val="000000"/>
          <w:kern w:val="0"/>
          <w:sz w:val="32"/>
          <w:szCs w:val="32"/>
          <w:shd w:val="clear" w:color="auto" w:fill="FFFFFF"/>
        </w:rPr>
        <w:t>各地农业农村主管部门审核认定后，上报省级农业农村主管部门备案。</w:t>
      </w:r>
    </w:p>
    <w:p w14:paraId="2F3A907B">
      <w:pPr>
        <w:widowControl/>
        <w:spacing w:line="480" w:lineRule="auto"/>
        <w:ind w:firstLine="555"/>
        <w:jc w:val="center"/>
        <w:rPr>
          <w:rFonts w:ascii="仿宋" w:hAnsi="仿宋" w:eastAsia="仿宋" w:cs="黑体"/>
          <w:sz w:val="32"/>
          <w:szCs w:val="32"/>
        </w:rPr>
      </w:pPr>
      <w:r>
        <w:rPr>
          <w:rStyle w:val="6"/>
          <w:rFonts w:hint="eastAsia" w:ascii="仿宋" w:hAnsi="仿宋" w:eastAsia="仿宋" w:cs="黑体"/>
          <w:color w:val="000000"/>
          <w:kern w:val="0"/>
          <w:sz w:val="32"/>
          <w:szCs w:val="32"/>
          <w:shd w:val="clear" w:color="auto" w:fill="FFFFFF"/>
        </w:rPr>
        <w:t>第四章管理监督</w:t>
      </w:r>
    </w:p>
    <w:p w14:paraId="7F00F0A7">
      <w:pPr>
        <w:ind w:firstLine="643" w:firstLineChars="200"/>
        <w:rPr>
          <w:rFonts w:ascii="仿宋" w:hAnsi="仿宋" w:eastAsia="仿宋"/>
          <w:color w:val="000000"/>
          <w:sz w:val="32"/>
          <w:szCs w:val="32"/>
        </w:rPr>
      </w:pPr>
      <w:r>
        <w:rPr>
          <w:rStyle w:val="6"/>
          <w:rFonts w:hint="eastAsia" w:ascii="仿宋" w:hAnsi="仿宋" w:eastAsia="仿宋" w:cs="仿宋_GB2312"/>
          <w:color w:val="000000"/>
          <w:kern w:val="0"/>
          <w:sz w:val="32"/>
          <w:szCs w:val="32"/>
          <w:shd w:val="clear" w:color="auto" w:fill="FFFFFF"/>
        </w:rPr>
        <w:t xml:space="preserve">第七条 </w:t>
      </w:r>
      <w:r>
        <w:rPr>
          <w:rFonts w:hint="eastAsia" w:ascii="仿宋" w:hAnsi="仿宋" w:eastAsia="仿宋"/>
          <w:color w:val="000000"/>
          <w:sz w:val="32"/>
          <w:szCs w:val="32"/>
        </w:rPr>
        <w:t>各级农业农村主管部门对培训机构进行全过程监督管理。</w:t>
      </w:r>
    </w:p>
    <w:p w14:paraId="0D3AAE23">
      <w:pPr>
        <w:ind w:firstLine="640" w:firstLineChars="200"/>
        <w:rPr>
          <w:rFonts w:ascii="仿宋" w:hAnsi="仿宋" w:eastAsia="仿宋"/>
          <w:color w:val="000000"/>
          <w:sz w:val="32"/>
          <w:szCs w:val="32"/>
        </w:rPr>
      </w:pPr>
      <w:r>
        <w:rPr>
          <w:rFonts w:hint="eastAsia" w:ascii="仿宋" w:hAnsi="仿宋" w:eastAsia="仿宋" w:cs="楷体_GB2312"/>
          <w:color w:val="000000"/>
          <w:sz w:val="32"/>
          <w:szCs w:val="32"/>
        </w:rPr>
        <w:t>1.启动申请。</w:t>
      </w:r>
      <w:r>
        <w:rPr>
          <w:rFonts w:hint="eastAsia" w:ascii="仿宋" w:hAnsi="仿宋" w:eastAsia="仿宋"/>
          <w:color w:val="000000"/>
          <w:sz w:val="32"/>
          <w:szCs w:val="32"/>
        </w:rPr>
        <w:t>培训机构在培训工作启动前向农业农村主管部门提交开班申请和培训计划，经审核同意后组织实施。</w:t>
      </w:r>
    </w:p>
    <w:p w14:paraId="72AEBDB6">
      <w:pPr>
        <w:ind w:firstLine="640" w:firstLineChars="200"/>
        <w:rPr>
          <w:rFonts w:ascii="仿宋" w:hAnsi="仿宋" w:eastAsia="仿宋"/>
          <w:color w:val="000000"/>
          <w:sz w:val="32"/>
          <w:szCs w:val="32"/>
        </w:rPr>
      </w:pPr>
      <w:r>
        <w:rPr>
          <w:rFonts w:hint="eastAsia" w:ascii="仿宋" w:hAnsi="仿宋" w:eastAsia="仿宋" w:cs="楷体_GB2312"/>
          <w:color w:val="000000"/>
          <w:sz w:val="32"/>
          <w:szCs w:val="32"/>
        </w:rPr>
        <w:t>2.日常监管。</w:t>
      </w:r>
      <w:r>
        <w:rPr>
          <w:rFonts w:hint="eastAsia" w:ascii="仿宋" w:hAnsi="仿宋" w:eastAsia="仿宋"/>
          <w:color w:val="000000"/>
          <w:sz w:val="32"/>
          <w:szCs w:val="32"/>
        </w:rPr>
        <w:t>培训期间，农业农村主管部门和财政主管部门应派人到现场核查，邀请审计或纪检监察部门参加，并填写《高素质农民培育现场核查表》。</w:t>
      </w:r>
    </w:p>
    <w:p w14:paraId="3795F026">
      <w:pPr>
        <w:ind w:firstLine="640" w:firstLineChars="200"/>
        <w:rPr>
          <w:rFonts w:ascii="仿宋" w:hAnsi="仿宋" w:eastAsia="仿宋"/>
          <w:color w:val="000000"/>
          <w:sz w:val="32"/>
          <w:szCs w:val="32"/>
        </w:rPr>
      </w:pPr>
      <w:r>
        <w:rPr>
          <w:rFonts w:hint="eastAsia" w:ascii="仿宋" w:hAnsi="仿宋" w:eastAsia="仿宋" w:cs="楷体_GB2312"/>
          <w:color w:val="000000"/>
          <w:sz w:val="32"/>
          <w:szCs w:val="32"/>
        </w:rPr>
        <w:t>3.检查验收。</w:t>
      </w:r>
      <w:r>
        <w:rPr>
          <w:rFonts w:hint="eastAsia" w:ascii="仿宋" w:hAnsi="仿宋" w:eastAsia="仿宋"/>
          <w:color w:val="000000"/>
          <w:sz w:val="32"/>
          <w:szCs w:val="32"/>
        </w:rPr>
        <w:t>培训机构完成相关任务后要及时</w:t>
      </w:r>
      <w:r>
        <w:rPr>
          <w:rFonts w:hint="eastAsia" w:ascii="仿宋" w:hAnsi="仿宋" w:eastAsia="仿宋"/>
          <w:sz w:val="32"/>
          <w:szCs w:val="32"/>
        </w:rPr>
        <w:t>填报</w:t>
      </w:r>
      <w:r>
        <w:rPr>
          <w:rFonts w:hint="eastAsia" w:ascii="仿宋" w:hAnsi="仿宋" w:eastAsia="仿宋"/>
          <w:color w:val="000000"/>
          <w:sz w:val="32"/>
          <w:szCs w:val="32"/>
        </w:rPr>
        <w:t>农民教育培训信息管理系统，做好工作总结，并向农业农村主管部门提出验收申请，</w:t>
      </w:r>
      <w:r>
        <w:rPr>
          <w:rFonts w:hint="eastAsia" w:ascii="仿宋" w:hAnsi="仿宋" w:eastAsia="仿宋" w:cs="仿宋_GB2312"/>
          <w:color w:val="000000"/>
          <w:kern w:val="0"/>
          <w:sz w:val="32"/>
          <w:szCs w:val="32"/>
          <w:shd w:val="clear" w:color="auto" w:fill="FFFFFF"/>
        </w:rPr>
        <w:t>同级</w:t>
      </w:r>
      <w:r>
        <w:rPr>
          <w:rFonts w:hint="eastAsia" w:ascii="仿宋" w:hAnsi="仿宋" w:eastAsia="仿宋"/>
          <w:color w:val="000000"/>
          <w:sz w:val="32"/>
          <w:szCs w:val="32"/>
        </w:rPr>
        <w:t>农业农村主管部门和财政主管部门根据培训机构的申请组织检查验收工作，填写《高素质农民培育检查验收表》。</w:t>
      </w:r>
    </w:p>
    <w:p w14:paraId="7B7B176C">
      <w:pPr>
        <w:widowControl/>
        <w:spacing w:line="480" w:lineRule="auto"/>
        <w:ind w:firstLine="480"/>
        <w:jc w:val="left"/>
        <w:rPr>
          <w:rFonts w:ascii="仿宋" w:hAnsi="仿宋" w:eastAsia="仿宋" w:cs="仿宋_GB2312"/>
          <w:color w:val="000000"/>
          <w:kern w:val="0"/>
          <w:sz w:val="32"/>
          <w:szCs w:val="32"/>
          <w:shd w:val="clear" w:color="auto" w:fill="FFFFFF"/>
        </w:rPr>
      </w:pPr>
      <w:r>
        <w:rPr>
          <w:rStyle w:val="6"/>
          <w:rFonts w:hint="eastAsia" w:ascii="仿宋" w:hAnsi="仿宋" w:eastAsia="仿宋" w:cs="仿宋_GB2312"/>
          <w:color w:val="000000"/>
          <w:kern w:val="0"/>
          <w:sz w:val="32"/>
          <w:szCs w:val="32"/>
          <w:shd w:val="clear" w:color="auto" w:fill="FFFFFF"/>
        </w:rPr>
        <w:t xml:space="preserve">第八条 </w:t>
      </w:r>
      <w:r>
        <w:rPr>
          <w:rFonts w:hint="eastAsia" w:ascii="仿宋" w:hAnsi="仿宋" w:eastAsia="仿宋" w:cs="仿宋_GB2312"/>
          <w:color w:val="000000"/>
          <w:kern w:val="0"/>
          <w:sz w:val="32"/>
          <w:szCs w:val="32"/>
          <w:shd w:val="clear" w:color="auto" w:fill="FFFFFF"/>
        </w:rPr>
        <w:t>各级农业农村主管部门要以培训任务完成情况和培训学员满意度为核心指标，建立高素质农民培训机构的监测、考评、退出机制。未完成培训任务的，取消培训资格。私自分包培训任务，取消当年培训任务并追缴项目资金，从培训机构库中除名，5年内不得申请入库。</w:t>
      </w:r>
    </w:p>
    <w:p w14:paraId="5D26F6CC">
      <w:pPr>
        <w:widowControl/>
        <w:spacing w:line="480" w:lineRule="auto"/>
        <w:ind w:firstLine="480"/>
        <w:jc w:val="left"/>
        <w:rPr>
          <w:rFonts w:ascii="仿宋" w:hAnsi="仿宋" w:eastAsia="仿宋" w:cs="仿宋_GB2312"/>
          <w:sz w:val="32"/>
          <w:szCs w:val="32"/>
        </w:rPr>
      </w:pPr>
      <w:r>
        <w:rPr>
          <w:rStyle w:val="6"/>
          <w:rFonts w:hint="eastAsia" w:ascii="仿宋" w:hAnsi="仿宋" w:eastAsia="仿宋" w:cs="仿宋_GB2312"/>
          <w:color w:val="000000"/>
          <w:kern w:val="0"/>
          <w:sz w:val="32"/>
          <w:szCs w:val="32"/>
          <w:shd w:val="clear" w:color="auto" w:fill="FFFFFF"/>
        </w:rPr>
        <w:t xml:space="preserve">第九条 </w:t>
      </w:r>
      <w:r>
        <w:rPr>
          <w:rFonts w:ascii="仿宋" w:hAnsi="仿宋" w:eastAsia="仿宋"/>
          <w:color w:val="000000"/>
          <w:kern w:val="0"/>
          <w:sz w:val="32"/>
          <w:szCs w:val="32"/>
        </w:rPr>
        <w:t>要加强育训结合，深度挖掘打造好经验、好模式、好典型</w:t>
      </w:r>
      <w:r>
        <w:rPr>
          <w:rFonts w:hint="eastAsia" w:ascii="仿宋" w:hAnsi="仿宋" w:eastAsia="仿宋" w:cs="仿宋_GB2312"/>
          <w:color w:val="000000"/>
          <w:kern w:val="0"/>
          <w:sz w:val="32"/>
          <w:szCs w:val="32"/>
          <w:shd w:val="clear" w:color="auto" w:fill="FFFFFF"/>
        </w:rPr>
        <w:t>每年至少发布4篇信息报道；每年至少选树2名培训学员典型代表。</w:t>
      </w:r>
    </w:p>
    <w:p w14:paraId="709F6F15">
      <w:pPr>
        <w:widowControl/>
        <w:spacing w:line="480" w:lineRule="auto"/>
        <w:ind w:firstLine="555"/>
        <w:jc w:val="center"/>
        <w:rPr>
          <w:rFonts w:ascii="仿宋" w:hAnsi="仿宋" w:eastAsia="仿宋" w:cs="黑体"/>
          <w:sz w:val="32"/>
          <w:szCs w:val="32"/>
        </w:rPr>
      </w:pPr>
      <w:r>
        <w:rPr>
          <w:rStyle w:val="6"/>
          <w:rFonts w:hint="eastAsia" w:ascii="仿宋" w:hAnsi="仿宋" w:eastAsia="仿宋" w:cs="黑体"/>
          <w:color w:val="000000"/>
          <w:kern w:val="0"/>
          <w:sz w:val="32"/>
          <w:szCs w:val="32"/>
          <w:shd w:val="clear" w:color="auto" w:fill="FFFFFF"/>
        </w:rPr>
        <w:t>第六章附则</w:t>
      </w:r>
    </w:p>
    <w:p w14:paraId="504F6A5D">
      <w:pPr>
        <w:widowControl/>
        <w:spacing w:line="480" w:lineRule="auto"/>
        <w:ind w:firstLine="480"/>
        <w:jc w:val="left"/>
        <w:rPr>
          <w:rFonts w:ascii="仿宋" w:hAnsi="仿宋" w:eastAsia="仿宋" w:cs="仿宋_GB2312"/>
          <w:color w:val="000000"/>
          <w:kern w:val="0"/>
          <w:sz w:val="32"/>
          <w:szCs w:val="32"/>
          <w:shd w:val="clear" w:color="auto" w:fill="FFFFFF"/>
        </w:rPr>
      </w:pPr>
      <w:r>
        <w:rPr>
          <w:rStyle w:val="6"/>
          <w:rFonts w:hint="eastAsia" w:ascii="仿宋" w:hAnsi="仿宋" w:eastAsia="仿宋" w:cs="仿宋_GB2312"/>
          <w:color w:val="000000"/>
          <w:kern w:val="0"/>
          <w:sz w:val="32"/>
          <w:szCs w:val="32"/>
          <w:shd w:val="clear" w:color="auto" w:fill="FFFFFF"/>
        </w:rPr>
        <w:t xml:space="preserve">第十条 </w:t>
      </w:r>
      <w:r>
        <w:rPr>
          <w:rFonts w:hint="eastAsia" w:ascii="仿宋" w:hAnsi="仿宋" w:eastAsia="仿宋" w:cs="仿宋_GB2312"/>
          <w:color w:val="000000"/>
          <w:kern w:val="0"/>
          <w:sz w:val="32"/>
          <w:szCs w:val="32"/>
          <w:shd w:val="clear" w:color="auto" w:fill="FFFFFF"/>
        </w:rPr>
        <w:t>培训机构名称、联系方式等重要信息发生变更，须及时报农业农村主管部门备案，并在信息库中修改变更有关内容。</w:t>
      </w:r>
    </w:p>
    <w:p w14:paraId="652D69E6">
      <w:pPr>
        <w:ind w:firstLine="643" w:firstLineChars="200"/>
        <w:rPr>
          <w:rFonts w:ascii="仿宋" w:hAnsi="仿宋" w:eastAsia="仿宋" w:cs="仿宋_GB2312"/>
          <w:color w:val="000000"/>
          <w:kern w:val="0"/>
          <w:sz w:val="32"/>
          <w:szCs w:val="32"/>
          <w:shd w:val="clear" w:color="auto" w:fill="FFFFFF"/>
        </w:rPr>
      </w:pPr>
      <w:r>
        <w:rPr>
          <w:rStyle w:val="6"/>
          <w:rFonts w:hint="eastAsia" w:ascii="仿宋" w:hAnsi="仿宋" w:eastAsia="仿宋" w:cs="仿宋_GB2312"/>
          <w:color w:val="000000"/>
          <w:kern w:val="0"/>
          <w:sz w:val="32"/>
          <w:szCs w:val="32"/>
          <w:shd w:val="clear" w:color="auto" w:fill="FFFFFF"/>
        </w:rPr>
        <w:t xml:space="preserve">第十一条 </w:t>
      </w:r>
      <w:r>
        <w:rPr>
          <w:rFonts w:hint="eastAsia" w:ascii="仿宋" w:hAnsi="仿宋" w:eastAsia="仿宋"/>
          <w:color w:val="000000"/>
          <w:sz w:val="32"/>
          <w:szCs w:val="32"/>
        </w:rPr>
        <w:t>田间学苑做为培训机构的辅助机构，由当地农业农村部门依据培训机构条件推荐，省级农业农村主管部门确认，可以承担当地部分高素质农民培训任务。田间学苑管理参照本办法执行。</w:t>
      </w:r>
    </w:p>
    <w:p w14:paraId="2F9B7A74">
      <w:pPr>
        <w:widowControl/>
        <w:spacing w:line="480" w:lineRule="auto"/>
        <w:ind w:firstLine="643" w:firstLineChars="200"/>
        <w:jc w:val="left"/>
        <w:rPr>
          <w:rFonts w:ascii="仿宋" w:hAnsi="仿宋" w:eastAsia="仿宋" w:cs="仿宋_GB2312"/>
          <w:sz w:val="32"/>
          <w:szCs w:val="32"/>
        </w:rPr>
      </w:pPr>
      <w:r>
        <w:rPr>
          <w:rStyle w:val="6"/>
          <w:rFonts w:hint="eastAsia" w:ascii="仿宋" w:hAnsi="仿宋" w:eastAsia="仿宋" w:cs="仿宋_GB2312"/>
          <w:color w:val="000000"/>
          <w:kern w:val="0"/>
          <w:sz w:val="32"/>
          <w:szCs w:val="32"/>
          <w:shd w:val="clear" w:color="auto" w:fill="FFFFFF"/>
        </w:rPr>
        <w:t xml:space="preserve">第十二条 </w:t>
      </w:r>
      <w:r>
        <w:rPr>
          <w:rFonts w:hint="eastAsia" w:ascii="仿宋" w:hAnsi="仿宋" w:eastAsia="仿宋" w:cs="仿宋_GB2312"/>
          <w:color w:val="000000"/>
          <w:kern w:val="0"/>
          <w:sz w:val="32"/>
          <w:szCs w:val="32"/>
          <w:shd w:val="clear" w:color="auto" w:fill="FFFFFF"/>
        </w:rPr>
        <w:t>本办法由省农业农村厅科教处负责解释。本办法自发布之日起施行。</w:t>
      </w:r>
    </w:p>
    <w:p w14:paraId="7FCB8E19">
      <w:pPr>
        <w:widowControl/>
        <w:spacing w:line="480" w:lineRule="auto"/>
        <w:ind w:firstLine="480"/>
        <w:jc w:val="left"/>
        <w:rPr>
          <w:rFonts w:ascii="仿宋_GB2312" w:hAnsi="仿宋_GB2312" w:eastAsia="仿宋_GB2312" w:cs="仿宋_GB2312"/>
          <w:color w:val="000000"/>
          <w:kern w:val="0"/>
          <w:sz w:val="32"/>
          <w:szCs w:val="32"/>
          <w:shd w:val="clear" w:color="auto" w:fill="FFFFFF"/>
        </w:rPr>
      </w:pPr>
    </w:p>
    <w:p w14:paraId="4ACE66BB">
      <w:pPr>
        <w:widowControl/>
        <w:spacing w:line="480" w:lineRule="auto"/>
        <w:ind w:firstLine="480"/>
        <w:jc w:val="left"/>
        <w:rPr>
          <w:rFonts w:ascii="仿宋_GB2312" w:hAnsi="仿宋_GB2312" w:eastAsia="仿宋_GB2312" w:cs="仿宋_GB2312"/>
          <w:color w:val="000000"/>
          <w:kern w:val="0"/>
          <w:sz w:val="32"/>
          <w:szCs w:val="32"/>
          <w:shd w:val="clear" w:color="auto" w:fill="FFFFFF"/>
        </w:rPr>
      </w:pPr>
    </w:p>
    <w:p w14:paraId="454D077C">
      <w:pPr>
        <w:widowControl/>
        <w:spacing w:line="480" w:lineRule="auto"/>
        <w:ind w:firstLine="480"/>
        <w:jc w:val="left"/>
        <w:rPr>
          <w:rFonts w:ascii="仿宋_GB2312" w:hAnsi="仿宋_GB2312" w:eastAsia="仿宋_GB2312" w:cs="仿宋_GB2312"/>
          <w:color w:val="000000"/>
          <w:kern w:val="0"/>
          <w:sz w:val="32"/>
          <w:szCs w:val="32"/>
          <w:shd w:val="clear" w:color="auto" w:fill="FFFFFF"/>
        </w:rPr>
      </w:pPr>
    </w:p>
    <w:p w14:paraId="3041D8EB">
      <w:pPr>
        <w:widowControl/>
        <w:spacing w:line="480" w:lineRule="auto"/>
        <w:ind w:firstLine="480"/>
        <w:jc w:val="left"/>
        <w:rPr>
          <w:rFonts w:ascii="仿宋_GB2312" w:hAnsi="仿宋_GB2312" w:eastAsia="仿宋_GB2312" w:cs="仿宋_GB2312"/>
          <w:color w:val="000000"/>
          <w:kern w:val="0"/>
          <w:sz w:val="32"/>
          <w:szCs w:val="32"/>
          <w:shd w:val="clear" w:color="auto" w:fill="FFFFFF"/>
        </w:rPr>
      </w:pPr>
    </w:p>
    <w:p w14:paraId="30B0A906">
      <w:pPr>
        <w:widowControl/>
        <w:spacing w:line="480" w:lineRule="auto"/>
        <w:ind w:firstLine="480"/>
        <w:jc w:val="left"/>
        <w:rPr>
          <w:rFonts w:ascii="仿宋_GB2312" w:hAnsi="仿宋_GB2312" w:eastAsia="仿宋_GB2312" w:cs="仿宋_GB2312"/>
          <w:color w:val="000000"/>
          <w:kern w:val="0"/>
          <w:sz w:val="32"/>
          <w:szCs w:val="32"/>
          <w:shd w:val="clear" w:color="auto" w:fill="FFFFFF"/>
        </w:rPr>
      </w:pPr>
    </w:p>
    <w:p w14:paraId="5C6F38CB">
      <w:pPr>
        <w:widowControl/>
        <w:spacing w:line="480" w:lineRule="auto"/>
        <w:ind w:firstLine="480"/>
        <w:jc w:val="left"/>
        <w:rPr>
          <w:rFonts w:ascii="仿宋_GB2312" w:hAnsi="仿宋_GB2312" w:eastAsia="仿宋_GB2312" w:cs="仿宋_GB2312"/>
          <w:color w:val="000000"/>
          <w:kern w:val="0"/>
          <w:sz w:val="32"/>
          <w:szCs w:val="32"/>
          <w:shd w:val="clear" w:color="auto" w:fill="FFFFFF"/>
        </w:rPr>
      </w:pPr>
    </w:p>
    <w:p w14:paraId="5CEE6BE2">
      <w:pPr>
        <w:widowControl/>
        <w:spacing w:line="480" w:lineRule="auto"/>
        <w:ind w:firstLine="480"/>
        <w:jc w:val="left"/>
        <w:rPr>
          <w:rFonts w:ascii="仿宋_GB2312" w:hAnsi="仿宋_GB2312" w:eastAsia="仿宋_GB2312" w:cs="仿宋_GB2312"/>
          <w:color w:val="000000"/>
          <w:kern w:val="0"/>
          <w:sz w:val="32"/>
          <w:szCs w:val="32"/>
          <w:shd w:val="clear" w:color="auto" w:fill="FFFFFF"/>
        </w:rPr>
      </w:pPr>
    </w:p>
    <w:p w14:paraId="6D61BCF4">
      <w:pPr>
        <w:widowControl/>
        <w:spacing w:line="480" w:lineRule="auto"/>
        <w:ind w:firstLine="480"/>
        <w:jc w:val="left"/>
        <w:rPr>
          <w:rFonts w:ascii="仿宋_GB2312" w:hAnsi="仿宋_GB2312" w:eastAsia="仿宋_GB2312" w:cs="仿宋_GB2312"/>
          <w:color w:val="000000"/>
          <w:kern w:val="0"/>
          <w:sz w:val="32"/>
          <w:szCs w:val="32"/>
          <w:shd w:val="clear" w:color="auto" w:fill="FFFFFF"/>
        </w:rPr>
      </w:pPr>
    </w:p>
    <w:p w14:paraId="1BD0CC58">
      <w:pPr>
        <w:widowControl/>
        <w:spacing w:line="480" w:lineRule="auto"/>
        <w:ind w:firstLine="480"/>
        <w:jc w:val="left"/>
        <w:rPr>
          <w:rFonts w:ascii="仿宋_GB2312" w:hAnsi="仿宋_GB2312" w:eastAsia="仿宋_GB2312" w:cs="仿宋_GB2312"/>
          <w:color w:val="000000"/>
          <w:kern w:val="0"/>
          <w:sz w:val="32"/>
          <w:szCs w:val="32"/>
          <w:shd w:val="clear" w:color="auto" w:fill="FFFFFF"/>
        </w:rPr>
      </w:pPr>
    </w:p>
    <w:p w14:paraId="110144FF">
      <w:pPr>
        <w:widowControl/>
        <w:spacing w:line="480" w:lineRule="auto"/>
        <w:ind w:firstLine="480"/>
        <w:jc w:val="left"/>
        <w:rPr>
          <w:rFonts w:ascii="仿宋_GB2312" w:hAnsi="仿宋_GB2312" w:eastAsia="仿宋_GB2312" w:cs="仿宋_GB2312"/>
          <w:color w:val="000000"/>
          <w:kern w:val="0"/>
          <w:sz w:val="32"/>
          <w:szCs w:val="32"/>
          <w:shd w:val="clear" w:color="auto" w:fill="FFFFFF"/>
        </w:rPr>
      </w:pPr>
    </w:p>
    <w:p w14:paraId="3B512699">
      <w:pPr>
        <w:widowControl/>
        <w:spacing w:line="480" w:lineRule="auto"/>
        <w:ind w:firstLine="480"/>
        <w:jc w:val="left"/>
        <w:rPr>
          <w:rFonts w:ascii="仿宋_GB2312" w:hAnsi="仿宋_GB2312" w:eastAsia="仿宋_GB2312" w:cs="仿宋_GB2312"/>
          <w:color w:val="000000"/>
          <w:kern w:val="0"/>
          <w:sz w:val="32"/>
          <w:szCs w:val="32"/>
          <w:shd w:val="clear" w:color="auto" w:fill="FFFFFF"/>
        </w:rPr>
      </w:pPr>
    </w:p>
    <w:p w14:paraId="16DF6EAB">
      <w:pPr>
        <w:widowControl/>
        <w:spacing w:line="480" w:lineRule="auto"/>
        <w:ind w:firstLine="480"/>
        <w:jc w:val="left"/>
        <w:rPr>
          <w:rFonts w:ascii="仿宋_GB2312" w:hAnsi="仿宋_GB2312" w:eastAsia="仿宋_GB2312" w:cs="仿宋_GB2312"/>
          <w:color w:val="000000"/>
          <w:kern w:val="0"/>
          <w:sz w:val="32"/>
          <w:szCs w:val="32"/>
          <w:shd w:val="clear" w:color="auto" w:fill="FFFFFF"/>
        </w:rPr>
      </w:pPr>
    </w:p>
    <w:p w14:paraId="1A39E08F">
      <w:pPr>
        <w:widowControl/>
        <w:spacing w:line="480" w:lineRule="auto"/>
        <w:ind w:firstLine="480"/>
        <w:jc w:val="left"/>
        <w:rPr>
          <w:rFonts w:ascii="仿宋_GB2312" w:hAnsi="仿宋_GB2312" w:eastAsia="仿宋_GB2312" w:cs="仿宋_GB2312"/>
          <w:color w:val="000000"/>
          <w:kern w:val="0"/>
          <w:sz w:val="32"/>
          <w:szCs w:val="32"/>
          <w:shd w:val="clear" w:color="auto" w:fill="FFFFFF"/>
        </w:rPr>
      </w:pPr>
    </w:p>
    <w:p w14:paraId="7FB44FA6">
      <w:pPr>
        <w:widowControl/>
        <w:spacing w:line="480" w:lineRule="auto"/>
        <w:ind w:firstLine="480"/>
        <w:jc w:val="left"/>
        <w:rPr>
          <w:rFonts w:ascii="仿宋_GB2312" w:hAnsi="仿宋_GB2312" w:eastAsia="仿宋_GB2312" w:cs="仿宋_GB2312"/>
          <w:color w:val="000000"/>
          <w:kern w:val="0"/>
          <w:sz w:val="32"/>
          <w:szCs w:val="32"/>
          <w:shd w:val="clear" w:color="auto" w:fill="FFFFFF"/>
        </w:rPr>
      </w:pPr>
    </w:p>
    <w:p w14:paraId="70FC28F0">
      <w:pPr>
        <w:widowControl/>
        <w:spacing w:line="480" w:lineRule="auto"/>
        <w:ind w:firstLine="480"/>
        <w:jc w:val="left"/>
        <w:rPr>
          <w:rFonts w:ascii="仿宋_GB2312" w:hAnsi="仿宋_GB2312" w:eastAsia="仿宋_GB2312" w:cs="仿宋_GB2312"/>
          <w:color w:val="000000"/>
          <w:kern w:val="0"/>
          <w:sz w:val="32"/>
          <w:szCs w:val="32"/>
          <w:shd w:val="clear" w:color="auto" w:fill="FFFFFF"/>
        </w:rPr>
      </w:pPr>
    </w:p>
    <w:p w14:paraId="788861D4">
      <w:pPr>
        <w:widowControl/>
        <w:spacing w:line="480" w:lineRule="auto"/>
        <w:ind w:firstLine="480"/>
        <w:jc w:val="left"/>
        <w:rPr>
          <w:rFonts w:ascii="仿宋_GB2312" w:hAnsi="仿宋_GB2312" w:eastAsia="仿宋_GB2312" w:cs="仿宋_GB2312"/>
          <w:color w:val="000000"/>
          <w:kern w:val="0"/>
          <w:sz w:val="32"/>
          <w:szCs w:val="32"/>
          <w:shd w:val="clear" w:color="auto" w:fill="FFFFFF"/>
        </w:rPr>
      </w:pPr>
    </w:p>
    <w:p w14:paraId="18EB7748">
      <w:pPr>
        <w:widowControl/>
        <w:spacing w:line="480" w:lineRule="auto"/>
        <w:ind w:firstLine="480"/>
        <w:jc w:val="left"/>
        <w:rPr>
          <w:rFonts w:ascii="仿宋_GB2312" w:hAnsi="仿宋_GB2312" w:eastAsia="仿宋_GB2312" w:cs="仿宋_GB2312"/>
          <w:color w:val="000000"/>
          <w:kern w:val="0"/>
          <w:sz w:val="32"/>
          <w:szCs w:val="32"/>
          <w:shd w:val="clear" w:color="auto" w:fill="FFFFFF"/>
        </w:rPr>
      </w:pPr>
    </w:p>
    <w:p w14:paraId="1B711C68">
      <w:pPr>
        <w:widowControl/>
        <w:spacing w:line="480" w:lineRule="auto"/>
        <w:ind w:firstLine="480"/>
        <w:jc w:val="left"/>
        <w:rPr>
          <w:rFonts w:ascii="仿宋_GB2312" w:hAnsi="仿宋_GB2312" w:eastAsia="仿宋_GB2312" w:cs="仿宋_GB2312"/>
          <w:color w:val="000000"/>
          <w:kern w:val="0"/>
          <w:sz w:val="32"/>
          <w:szCs w:val="32"/>
          <w:shd w:val="clear" w:color="auto" w:fill="FFFFFF"/>
        </w:rPr>
      </w:pPr>
    </w:p>
    <w:p w14:paraId="34491643">
      <w:pPr>
        <w:widowControl/>
        <w:spacing w:line="480" w:lineRule="auto"/>
        <w:ind w:firstLine="480"/>
        <w:jc w:val="left"/>
        <w:rPr>
          <w:rFonts w:ascii="仿宋_GB2312" w:hAnsi="仿宋_GB2312" w:eastAsia="仿宋_GB2312" w:cs="仿宋_GB2312"/>
          <w:color w:val="000000"/>
          <w:kern w:val="0"/>
          <w:sz w:val="32"/>
          <w:szCs w:val="32"/>
          <w:shd w:val="clear" w:color="auto" w:fill="FFFFFF"/>
        </w:rPr>
      </w:pPr>
    </w:p>
    <w:p w14:paraId="0B0C239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18DD94"/>
    <w:multiLevelType w:val="singleLevel"/>
    <w:tmpl w:val="2418DD94"/>
    <w:lvl w:ilvl="0" w:tentative="0">
      <w:start w:val="1"/>
      <w:numFmt w:val="decimal"/>
      <w:lvlText w:val="%1."/>
      <w:lvlJc w:val="left"/>
      <w:pPr>
        <w:tabs>
          <w:tab w:val="left" w:pos="312"/>
        </w:tabs>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5N2MzNTFmNTQ2YmM2MzIzYjk2OGJkM2RmYTQxNDYifQ=="/>
  </w:docVars>
  <w:rsids>
    <w:rsidRoot w:val="0883572A"/>
    <w:rsid w:val="0883572A"/>
    <w:rsid w:val="09BB603A"/>
    <w:rsid w:val="16F14B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after="120" w:afterLines="0" w:afterAutospacing="0"/>
      <w:ind w:left="420" w:leftChars="200"/>
    </w:pPr>
  </w:style>
  <w:style w:type="paragraph" w:styleId="3">
    <w:name w:val="Body Text First Indent 2"/>
    <w:basedOn w:val="2"/>
    <w:qFormat/>
    <w:uiPriority w:val="0"/>
    <w:pPr>
      <w:ind w:firstLine="420" w:firstLineChars="200"/>
    </w:pPr>
  </w:style>
  <w:style w:type="character" w:styleId="6">
    <w:name w:val="Strong"/>
    <w:basedOn w:val="5"/>
    <w:qFormat/>
    <w:uiPriority w:val="0"/>
    <w:rPr>
      <w:b/>
      <w:bCs/>
    </w:rPr>
  </w:style>
  <w:style w:type="paragraph" w:customStyle="1" w:styleId="7">
    <w:name w:val="正式文"/>
    <w:basedOn w:val="3"/>
    <w:next w:val="3"/>
    <w:qFormat/>
    <w:uiPriority w:val="0"/>
    <w:pPr>
      <w:ind w:left="0" w:leftChars="0"/>
    </w:pPr>
    <w:rPr>
      <w:rFonts w:eastAsia="仿宋_GB2312" w:asciiTheme="minorAscii" w:hAnsiTheme="minorAscii"/>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Office_12.1.0.17140_F1E327BC-269C-435d-A152-05C5408002CA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2024-07-04T06:30:00Z</dcterms:created>
  <dc:creator>123</dc:creator>
  <cp:lastModifiedBy>123</cp:lastModifiedBy>
  <dcterms:modified xsi:type="dcterms:W3CDTF">2024-07-04T06:30:36Z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2052-12.1.0.17140</vt:lpwstr>
  </property>
  <property fmtid="{D5CDD505-2E9C-101B-9397-08002B2CF9AE}" pid="3" name="ICV">
    <vt:lpwstr>F8EF0B5449E945D0BCEDE70342B34CBA_11</vt:lpwstr>
  </property>
</Properties>
</file>